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9" w:rsidRPr="00A609C7" w:rsidRDefault="00F43B09" w:rsidP="00BA0585">
      <w:pPr>
        <w:jc w:val="both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 xml:space="preserve">AUTORA: AMATRA 1 </w:t>
      </w:r>
    </w:p>
    <w:p w:rsidR="00F43B09" w:rsidRPr="00A609C7" w:rsidRDefault="00F43B09" w:rsidP="00A609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>DEFENSORA DA TESE: ELIETE DA SILVA TELLES</w:t>
      </w:r>
    </w:p>
    <w:p w:rsidR="00F43B09" w:rsidRPr="00A609C7" w:rsidRDefault="00F43B09" w:rsidP="00BA0585">
      <w:pPr>
        <w:jc w:val="both"/>
        <w:rPr>
          <w:rFonts w:ascii="Times New Roman" w:hAnsi="Times New Roman"/>
          <w:sz w:val="24"/>
          <w:szCs w:val="24"/>
        </w:rPr>
      </w:pPr>
    </w:p>
    <w:p w:rsidR="00F43B09" w:rsidRPr="00A609C7" w:rsidRDefault="00F43B09" w:rsidP="00BA0585">
      <w:pPr>
        <w:jc w:val="both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>SÃO PRESSUPOSTOS DA UNIDADE E VALORIZAÇÃO DA CARREIRA DA MAGISTRATURA, QUE DEVEM SER OBJETIVOS PRIORITÁRIOS NA POLÍTICA ANAMATRA, A UNIFORMIDADE DO REGIME PREVIDENCIÁRIO</w:t>
      </w:r>
      <w:r>
        <w:rPr>
          <w:rFonts w:ascii="Times New Roman" w:hAnsi="Times New Roman"/>
          <w:sz w:val="24"/>
          <w:szCs w:val="24"/>
        </w:rPr>
        <w:t xml:space="preserve"> E A </w:t>
      </w:r>
      <w:r w:rsidRPr="00A609C7">
        <w:rPr>
          <w:rFonts w:ascii="Times New Roman" w:hAnsi="Times New Roman"/>
          <w:sz w:val="24"/>
          <w:szCs w:val="24"/>
        </w:rPr>
        <w:t>DEFESA DA PARIDADE E INTEGRALIDADE DE VENCIMENTOS, PROVENTOS E PENSÕES, GARANTIAS QUE DEVERÃO SER OBSERVADAS NO PROJETO DO ESTATUTO DA MAGISTRATURA.</w:t>
      </w:r>
    </w:p>
    <w:p w:rsidR="00F43B09" w:rsidRPr="00A609C7" w:rsidRDefault="00F43B09" w:rsidP="00BA0585">
      <w:pPr>
        <w:jc w:val="both"/>
        <w:rPr>
          <w:rFonts w:ascii="Times New Roman" w:hAnsi="Times New Roman"/>
          <w:sz w:val="24"/>
          <w:szCs w:val="24"/>
        </w:rPr>
      </w:pPr>
    </w:p>
    <w:p w:rsidR="00F43B09" w:rsidRPr="00A609C7" w:rsidRDefault="00F43B09" w:rsidP="006640F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>FUNDAMENTAÇÃO:</w:t>
      </w:r>
    </w:p>
    <w:p w:rsidR="00F43B09" w:rsidRPr="00A609C7" w:rsidRDefault="00F43B09" w:rsidP="00BA0585">
      <w:pPr>
        <w:jc w:val="both"/>
        <w:rPr>
          <w:rFonts w:ascii="Times New Roman" w:hAnsi="Times New Roman"/>
          <w:sz w:val="24"/>
          <w:szCs w:val="24"/>
        </w:rPr>
      </w:pPr>
    </w:p>
    <w:p w:rsidR="00F43B09" w:rsidRPr="00A609C7" w:rsidRDefault="00F43B09" w:rsidP="00BA0585">
      <w:pPr>
        <w:jc w:val="both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 xml:space="preserve">                      A organização da magistratura nacional, conformada pelas normas constitucionais e complementares, tem seu eixo central na uniformidade dos regimes previdenciário e remuneratório que garantam a paridade, integralidade e irredutibilidade de vencimentos proventos e pensões. Essa estrutura unitária e nacional  foi alterada, no que tange ao regramento previdenciário, pelas Emendas Constitucionais de nº20/98 e 41/2003  que criou regimes jurídicos diversos para o exercício  dos mesmos cargos e funções, de acordo com as datas de ingresso na carreira. Assim, os Juízes que tiveram suas investiduras nos cargos em janeiro de 2004 não têm direito às garantias da integralidade e paridade e aqueles que ingressaram a partir de 14/2013, após   a criação do FUNPRESP-JUD, aposentam-se de acordo com as regras do Regime Geral da Previdência Social, tendo por base o teto geral da Previdência, sendo-lhes facultada a complementação dos futuros proventos mediante contribuição para o Funpresp-Jud.</w:t>
      </w:r>
    </w:p>
    <w:p w:rsidR="00F43B09" w:rsidRPr="00A609C7" w:rsidRDefault="00F43B09" w:rsidP="00BA0585">
      <w:pPr>
        <w:jc w:val="both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 xml:space="preserve">                     Essa desigualdade de garantias desvaloriza a carreira, afasta profissionais qualificados e incentiva a evasão de Juízes que, em face das restrições legais ao exercício de outras atividades, exceto a do magistério, sem a contrapartida de uma aposentação com proventos dignos, optam por outras carreiras.</w:t>
      </w:r>
    </w:p>
    <w:p w:rsidR="00F43B09" w:rsidRPr="00A609C7" w:rsidRDefault="00F43B09" w:rsidP="00BA0585">
      <w:pPr>
        <w:jc w:val="both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 xml:space="preserve">                     A partir da diversidade de regimes previdenciários, a convivência de  magistrados garantidos por paridade e  integralidade com aqueles que não as possuem  e, ainda, com os que terão de contribuir para o Funpresp-Jud, cuja higidez futura pode não ser certa, vem gerando oposição de interesses dentro da corporação  e incentivando a busca de vantagens diversas que vêm sendo concedidas com denominação de indenizatória, não integrantes da remuneração da categoria.</w:t>
      </w:r>
    </w:p>
    <w:p w:rsidR="00F43B09" w:rsidRPr="00A609C7" w:rsidRDefault="00F43B09" w:rsidP="00B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 xml:space="preserve">                     Essa política, que fora afastada pelas lutas associativas em prol de vencimentos com caráter exclusivamente remuneratório, com a edição da Lei </w:t>
      </w:r>
      <w:bookmarkStart w:id="0" w:name="_GoBack"/>
      <w:bookmarkEnd w:id="0"/>
      <w:r w:rsidRPr="00A609C7">
        <w:rPr>
          <w:rFonts w:ascii="Times New Roman" w:hAnsi="Times New Roman"/>
          <w:sz w:val="24"/>
          <w:szCs w:val="24"/>
        </w:rPr>
        <w:t>11.137/05 e a criação do subsídio e do teto salarial do funcionalismo público , vem ganhando força e criando uma grave desigualdade entre vencimentos e proventos, com perdas  remuneratórias significativas para os aposentados que já alcançam 50 % do valor do subsídio.</w:t>
      </w:r>
    </w:p>
    <w:p w:rsidR="00F43B09" w:rsidRPr="00A609C7" w:rsidRDefault="00F43B09" w:rsidP="00B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 xml:space="preserve">                  A solução para a defasagem dos subsídios e, sobretudo, dos proventos, terá de contemplar o conjunto da magistratura com o restabelecimento da uniformidade do regime previdenciário próprio da carreira, pela busca da declaração de inconstitucionalidade, pelas ADIS 3308 e 3368 de 2005, das alterações promovidas pela Reforma da Previdência no tocante ao regime da magistratura ,  pelo  cômputo do tempo de serviço e pela observância da paridade e integralidade pelo Projeto do Estatuto da Magistratura.</w:t>
      </w:r>
    </w:p>
    <w:p w:rsidR="00F43B09" w:rsidRPr="00A609C7" w:rsidRDefault="00F43B09" w:rsidP="00B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3B09" w:rsidRPr="00A609C7" w:rsidRDefault="00F43B09" w:rsidP="00B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3B09" w:rsidRPr="00A609C7" w:rsidRDefault="00F43B09" w:rsidP="00BA0585">
      <w:pPr>
        <w:jc w:val="both"/>
        <w:rPr>
          <w:rFonts w:ascii="Times New Roman" w:hAnsi="Times New Roman"/>
          <w:sz w:val="24"/>
          <w:szCs w:val="24"/>
        </w:rPr>
      </w:pPr>
      <w:r w:rsidRPr="00A609C7">
        <w:rPr>
          <w:rFonts w:ascii="Times New Roman" w:hAnsi="Times New Roman"/>
          <w:sz w:val="24"/>
          <w:szCs w:val="24"/>
        </w:rPr>
        <w:t xml:space="preserve"> </w:t>
      </w:r>
    </w:p>
    <w:p w:rsidR="00F43B09" w:rsidRPr="00A609C7" w:rsidRDefault="00F43B09">
      <w:pPr>
        <w:rPr>
          <w:rFonts w:ascii="Times New Roman" w:hAnsi="Times New Roman"/>
          <w:sz w:val="24"/>
          <w:szCs w:val="24"/>
        </w:rPr>
      </w:pPr>
    </w:p>
    <w:sectPr w:rsidR="00F43B09" w:rsidRPr="00A609C7" w:rsidSect="00356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A17"/>
    <w:rsid w:val="001F6F79"/>
    <w:rsid w:val="003562AF"/>
    <w:rsid w:val="003F0371"/>
    <w:rsid w:val="004345C5"/>
    <w:rsid w:val="005C6D48"/>
    <w:rsid w:val="00634A17"/>
    <w:rsid w:val="006640F5"/>
    <w:rsid w:val="00681100"/>
    <w:rsid w:val="00767EC3"/>
    <w:rsid w:val="008339A5"/>
    <w:rsid w:val="00A609C7"/>
    <w:rsid w:val="00B05922"/>
    <w:rsid w:val="00BA0585"/>
    <w:rsid w:val="00D6036F"/>
    <w:rsid w:val="00DB4948"/>
    <w:rsid w:val="00DE49BB"/>
    <w:rsid w:val="00F43B09"/>
    <w:rsid w:val="00F8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640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495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PRESSUPOSTOS DA UNIDADE E VALORIZAÇÃO DA CARREIRA DA MAGISTRATURA, QUE DEVEM SER OBJETIVOS PRIORITÁRIOS NA POLÍTICA ANAMATRA, A UNIFORMIDADE DO REGIME PREVIDENCIÁRIO E A  DEFESA DA PARIDADE E INTEGRALIDADE DE VENCIMENTOS, PROVENTOS E PENSÕES, GARANTI</dc:title>
  <dc:subject/>
  <dc:creator>Eliete Telles</dc:creator>
  <cp:keywords/>
  <dc:description/>
  <cp:lastModifiedBy>AMATRA</cp:lastModifiedBy>
  <cp:revision>2</cp:revision>
  <dcterms:created xsi:type="dcterms:W3CDTF">2016-03-17T19:17:00Z</dcterms:created>
  <dcterms:modified xsi:type="dcterms:W3CDTF">2016-03-17T19:17:00Z</dcterms:modified>
</cp:coreProperties>
</file>